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E944" w14:textId="500071D7" w:rsidR="007064E3" w:rsidRPr="006F573C" w:rsidRDefault="006F573C" w:rsidP="00F92047">
      <w:pPr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24"/>
        </w:rPr>
      </w:pPr>
      <w:r w:rsidRPr="006F573C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24"/>
        </w:rPr>
        <w:t>小児白血病</w:t>
      </w:r>
    </w:p>
    <w:p w14:paraId="3C1C1AC0" w14:textId="77777777" w:rsidR="006F573C" w:rsidRPr="006F573C" w:rsidRDefault="006F573C" w:rsidP="00F92047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14:paraId="605B9AB6" w14:textId="7A88BF09" w:rsidR="00FB6370" w:rsidRPr="006F573C" w:rsidRDefault="00FB637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[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病態</w:t>
      </w: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]</w:t>
      </w:r>
    </w:p>
    <w:p w14:paraId="67A1213D" w14:textId="7F607AB9" w:rsidR="00361AB6" w:rsidRPr="006F573C" w:rsidRDefault="00135DE8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白血病は、末梢血液中に</w:t>
      </w:r>
      <w:r w:rsidR="00A70D6E" w:rsidRPr="006F573C">
        <w:rPr>
          <w:rFonts w:ascii="HG丸ｺﾞｼｯｸM-PRO" w:eastAsia="HG丸ｺﾞｼｯｸM-PRO" w:hAnsi="HG丸ｺﾞｼｯｸM-PRO" w:hint="eastAsia"/>
          <w:szCs w:val="21"/>
        </w:rPr>
        <w:t>幼弱白血球</w:t>
      </w:r>
      <w:r w:rsidR="00A70D6E" w:rsidRPr="006F573C">
        <w:rPr>
          <w:rFonts w:ascii="HG丸ｺﾞｼｯｸM-PRO" w:eastAsia="HG丸ｺﾞｼｯｸM-PRO" w:hAnsi="HG丸ｺﾞｼｯｸM-PRO"/>
          <w:szCs w:val="21"/>
        </w:rPr>
        <w:t>(</w:t>
      </w:r>
      <w:r w:rsidR="00A70D6E" w:rsidRPr="006F573C">
        <w:rPr>
          <w:rFonts w:ascii="HG丸ｺﾞｼｯｸM-PRO" w:eastAsia="HG丸ｺﾞｼｯｸM-PRO" w:hAnsi="HG丸ｺﾞｼｯｸM-PRO" w:hint="eastAsia"/>
          <w:szCs w:val="21"/>
        </w:rPr>
        <w:t>芽球)が出現し全身臓器に増殖・湿潤をきたす。</w:t>
      </w:r>
      <w:r w:rsidR="00361AB6" w:rsidRPr="006F573C">
        <w:rPr>
          <w:rFonts w:ascii="HG丸ｺﾞｼｯｸM-PRO" w:eastAsia="HG丸ｺﾞｼｯｸM-PRO" w:hAnsi="HG丸ｺﾞｼｯｸM-PRO" w:hint="eastAsia"/>
          <w:szCs w:val="21"/>
        </w:rPr>
        <w:t>正常な造血機能は抑制され血小板・赤血球などの生成が減少する疾患。</w:t>
      </w:r>
    </w:p>
    <w:p w14:paraId="3350FC20" w14:textId="686B989D" w:rsidR="007E29DF" w:rsidRPr="006F573C" w:rsidRDefault="007E29DF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血液細胞が造血幹細胞のレベルで形質転換を起こして異常クローン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旺盛な増殖力を持つ</w:t>
      </w:r>
      <w:r w:rsidR="009D1024" w:rsidRPr="006F573C">
        <w:rPr>
          <w:rFonts w:ascii="HG丸ｺﾞｼｯｸM-PRO" w:eastAsia="HG丸ｺﾞｼｯｸM-PRO" w:hAnsi="HG丸ｺﾞｼｯｸM-PRO" w:hint="eastAsia"/>
          <w:szCs w:val="21"/>
        </w:rPr>
        <w:t>がん化した血液細胞は、分化能力</w:t>
      </w:r>
      <w:r w:rsidR="00CC0D53" w:rsidRPr="006F573C">
        <w:rPr>
          <w:rFonts w:ascii="HG丸ｺﾞｼｯｸM-PRO" w:eastAsia="HG丸ｺﾞｼｯｸM-PRO" w:hAnsi="HG丸ｺﾞｼｯｸM-PRO" w:hint="eastAsia"/>
          <w:szCs w:val="21"/>
        </w:rPr>
        <w:t>をほとんど持たず自己再生を繰り返す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="00CC0D53" w:rsidRPr="006F573C">
        <w:rPr>
          <w:rFonts w:ascii="HG丸ｺﾞｼｯｸM-PRO" w:eastAsia="HG丸ｺﾞｼｯｸM-PRO" w:hAnsi="HG丸ｺﾞｼｯｸM-PRO" w:hint="eastAsia"/>
          <w:szCs w:val="21"/>
        </w:rPr>
        <w:t>の発生により、白血病化する。このため病的白血球は無制限に増殖・湿潤し、正常血液細胞の増殖分化が抑制される。</w:t>
      </w:r>
    </w:p>
    <w:p w14:paraId="064643D1" w14:textId="16BCB257" w:rsidR="003A1B52" w:rsidRPr="006F573C" w:rsidRDefault="003A1B52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小児期の悪性腫瘍の中では最も発生頻度</w:t>
      </w:r>
      <w:r w:rsidR="006A232E" w:rsidRPr="006F573C">
        <w:rPr>
          <w:rFonts w:ascii="HG丸ｺﾞｼｯｸM-PRO" w:eastAsia="HG丸ｺﾞｼｯｸM-PRO" w:hAnsi="HG丸ｺﾞｼｯｸM-PRO" w:hint="eastAsia"/>
          <w:szCs w:val="21"/>
        </w:rPr>
        <w:t>が高い。小児では95％以上が急性リンパ性白血病と急性骨髄性白血病に分けられ、ほぼ同じ発生率である。好発年齢は2〜10歳である。</w:t>
      </w:r>
    </w:p>
    <w:p w14:paraId="601275EA" w14:textId="77777777" w:rsidR="00A1136B" w:rsidRPr="006F573C" w:rsidRDefault="00A1136B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354B1D1F" w14:textId="4D4F5E1C" w:rsidR="00FB6370" w:rsidRPr="006F573C" w:rsidRDefault="00FB637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[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症状</w:t>
      </w: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]</w:t>
      </w:r>
    </w:p>
    <w:p w14:paraId="78DA37B4" w14:textId="39242E2A" w:rsidR="00DC0ECC" w:rsidRPr="006F573C" w:rsidRDefault="00DC0ECC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●初発症状</w:t>
      </w:r>
    </w:p>
    <w:p w14:paraId="5FD99D6A" w14:textId="58C228DC" w:rsidR="00F0450E" w:rsidRPr="006F573C" w:rsidRDefault="00F0450E" w:rsidP="00814248">
      <w:pPr>
        <w:widowControl/>
        <w:adjustRightInd w:val="0"/>
        <w:snapToGrid w:val="0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・発熱 </w:t>
      </w:r>
      <w:r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・顔色不良 </w:t>
      </w:r>
      <w:r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・口唇および眼瞼の蒼白化 </w:t>
      </w:r>
      <w:r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・全身倦怠感 </w:t>
      </w:r>
      <w:r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・食欲不振</w:t>
      </w:r>
      <w:r w:rsidRPr="006F573C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・</w:t>
      </w:r>
      <w:r w:rsidR="007D258E" w:rsidRPr="006F573C">
        <w:rPr>
          <w:rFonts w:ascii="HG丸ｺﾞｼｯｸM-PRO" w:eastAsia="HG丸ｺﾞｼｯｸM-PRO" w:hAnsi="HG丸ｺﾞｼｯｸM-PRO" w:hint="eastAsia"/>
          <w:szCs w:val="21"/>
        </w:rPr>
        <w:t>易感染傾向</w:t>
      </w:r>
    </w:p>
    <w:p w14:paraId="3C0BC3B8" w14:textId="09AC6D72" w:rsidR="00F0450E" w:rsidRPr="006F573C" w:rsidRDefault="00F0450E" w:rsidP="00814248">
      <w:pPr>
        <w:widowControl/>
        <w:adjustRightInd w:val="0"/>
        <w:snapToGrid w:val="0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・出血傾向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歯肉・粘膜の出血斑</w:t>
      </w:r>
      <w:r w:rsidR="007D258E" w:rsidRPr="006F573C">
        <w:rPr>
          <w:rFonts w:ascii="HG丸ｺﾞｼｯｸM-PRO" w:eastAsia="HG丸ｺﾞｼｯｸM-PRO" w:hAnsi="HG丸ｺﾞｼｯｸM-PRO" w:hint="eastAsia"/>
          <w:szCs w:val="21"/>
        </w:rPr>
        <w:t>、紫斑、鼻出血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="007D258E" w:rsidRPr="006F573C">
        <w:rPr>
          <w:rFonts w:ascii="HG丸ｺﾞｼｯｸM-PRO" w:eastAsia="HG丸ｺﾞｼｯｸM-PRO" w:hAnsi="HG丸ｺﾞｼｯｸM-PRO"/>
          <w:szCs w:val="21"/>
        </w:rPr>
        <w:t xml:space="preserve">  </w:t>
      </w:r>
      <w:r w:rsidR="007D258E" w:rsidRPr="006F573C">
        <w:rPr>
          <w:rFonts w:ascii="HG丸ｺﾞｼｯｸM-PRO" w:eastAsia="HG丸ｺﾞｼｯｸM-PRO" w:hAnsi="HG丸ｺﾞｼｯｸM-PRO" w:hint="eastAsia"/>
          <w:szCs w:val="21"/>
        </w:rPr>
        <w:t>・</w:t>
      </w:r>
      <w:r w:rsidR="003E2364" w:rsidRPr="006F573C">
        <w:rPr>
          <w:rFonts w:ascii="HG丸ｺﾞｼｯｸM-PRO" w:eastAsia="HG丸ｺﾞｼｯｸM-PRO" w:hAnsi="HG丸ｺﾞｼｯｸM-PRO" w:hint="eastAsia"/>
          <w:szCs w:val="21"/>
        </w:rPr>
        <w:t xml:space="preserve">リンパ節腫脹 </w:t>
      </w:r>
      <w:r w:rsidR="003E2364"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="003E2364" w:rsidRPr="006F573C">
        <w:rPr>
          <w:rFonts w:ascii="HG丸ｺﾞｼｯｸM-PRO" w:eastAsia="HG丸ｺﾞｼｯｸM-PRO" w:hAnsi="HG丸ｺﾞｼｯｸM-PRO" w:hint="eastAsia"/>
          <w:szCs w:val="21"/>
        </w:rPr>
        <w:t xml:space="preserve">・関節痛 </w:t>
      </w:r>
      <w:r w:rsidR="003E2364"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="003E2364" w:rsidRPr="006F573C">
        <w:rPr>
          <w:rFonts w:ascii="HG丸ｺﾞｼｯｸM-PRO" w:eastAsia="HG丸ｺﾞｼｯｸM-PRO" w:hAnsi="HG丸ｺﾞｼｯｸM-PRO" w:hint="eastAsia"/>
          <w:szCs w:val="21"/>
        </w:rPr>
        <w:t xml:space="preserve">・頭痛 </w:t>
      </w:r>
      <w:r w:rsidR="003E2364" w:rsidRPr="006F573C">
        <w:rPr>
          <w:rFonts w:ascii="HG丸ｺﾞｼｯｸM-PRO" w:eastAsia="HG丸ｺﾞｼｯｸM-PRO" w:hAnsi="HG丸ｺﾞｼｯｸM-PRO"/>
          <w:szCs w:val="21"/>
        </w:rPr>
        <w:t xml:space="preserve"> </w:t>
      </w:r>
      <w:r w:rsidR="003E2364" w:rsidRPr="006F573C">
        <w:rPr>
          <w:rFonts w:ascii="HG丸ｺﾞｼｯｸM-PRO" w:eastAsia="HG丸ｺﾞｼｯｸM-PRO" w:hAnsi="HG丸ｺﾞｼｯｸM-PRO" w:hint="eastAsia"/>
          <w:szCs w:val="21"/>
        </w:rPr>
        <w:t>・嘔気、嘔吐</w:t>
      </w:r>
    </w:p>
    <w:p w14:paraId="7B878CAB" w14:textId="77777777" w:rsidR="008235BD" w:rsidRPr="006F573C" w:rsidRDefault="003E2364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●臨床症状</w:t>
      </w:r>
    </w:p>
    <w:p w14:paraId="36EF742C" w14:textId="6EA643E5" w:rsidR="003E2364" w:rsidRPr="006F573C" w:rsidRDefault="00E85D5B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・正常骨髄細胞の減少：赤血球・好中球および血小板の減少</w:t>
      </w:r>
    </w:p>
    <w:p w14:paraId="1730C501" w14:textId="02EB24C3" w:rsidR="008235BD" w:rsidRPr="006F573C" w:rsidRDefault="008235BD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・白血病細胞の他臓器への湿潤：髄膜</w:t>
      </w:r>
      <w:r w:rsidR="00753166" w:rsidRPr="006F573C">
        <w:rPr>
          <w:rFonts w:ascii="HG丸ｺﾞｼｯｸM-PRO" w:eastAsia="HG丸ｺﾞｼｯｸM-PRO" w:hAnsi="HG丸ｺﾞｼｯｸM-PRO" w:hint="eastAsia"/>
          <w:szCs w:val="21"/>
        </w:rPr>
        <w:t>・脳実質</w:t>
      </w:r>
      <w:r w:rsidR="00753166" w:rsidRPr="006F573C">
        <w:rPr>
          <w:rFonts w:ascii="HG丸ｺﾞｼｯｸM-PRO" w:eastAsia="HG丸ｺﾞｼｯｸM-PRO" w:hAnsi="HG丸ｺﾞｼｯｸM-PRO"/>
          <w:szCs w:val="21"/>
        </w:rPr>
        <w:t>(</w:t>
      </w:r>
      <w:r w:rsidR="00753166" w:rsidRPr="006F573C">
        <w:rPr>
          <w:rFonts w:ascii="HG丸ｺﾞｼｯｸM-PRO" w:eastAsia="HG丸ｺﾞｼｯｸM-PRO" w:hAnsi="HG丸ｺﾞｼｯｸM-PRO" w:hint="eastAsia"/>
          <w:szCs w:val="21"/>
        </w:rPr>
        <w:t>視力障害、意識障害、食欲不振</w:t>
      </w:r>
      <w:r w:rsidR="00753166" w:rsidRPr="006F573C">
        <w:rPr>
          <w:rFonts w:ascii="HG丸ｺﾞｼｯｸM-PRO" w:eastAsia="HG丸ｺﾞｼｯｸM-PRO" w:hAnsi="HG丸ｺﾞｼｯｸM-PRO"/>
          <w:szCs w:val="21"/>
        </w:rPr>
        <w:t>)</w:t>
      </w:r>
    </w:p>
    <w:p w14:paraId="5903C61A" w14:textId="77777777" w:rsidR="00502B0B" w:rsidRPr="006F573C" w:rsidRDefault="00753166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・細胞破壊の亢進：GOT、GPT、</w:t>
      </w:r>
      <w:r w:rsidR="00EC52E6" w:rsidRPr="006F573C">
        <w:rPr>
          <w:rFonts w:ascii="HG丸ｺﾞｼｯｸM-PRO" w:eastAsia="HG丸ｺﾞｼｯｸM-PRO" w:hAnsi="HG丸ｺﾞｼｯｸM-PRO" w:hint="eastAsia"/>
          <w:szCs w:val="21"/>
        </w:rPr>
        <w:t>LDHなどの上昇、尿酸の上昇による腎排泄機能障害、腎不全、</w:t>
      </w:r>
    </w:p>
    <w:p w14:paraId="11EDF1DC" w14:textId="01BE5A8F" w:rsidR="00753166" w:rsidRPr="006F573C" w:rsidRDefault="00EC52E6" w:rsidP="00814248">
      <w:pPr>
        <w:widowControl/>
        <w:adjustRightInd w:val="0"/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DICによる出血</w:t>
      </w:r>
      <w:r w:rsidR="00502B0B" w:rsidRPr="006F573C">
        <w:rPr>
          <w:rFonts w:ascii="HG丸ｺﾞｼｯｸM-PRO" w:eastAsia="HG丸ｺﾞｼｯｸM-PRO" w:hAnsi="HG丸ｺﾞｼｯｸM-PRO" w:hint="eastAsia"/>
          <w:szCs w:val="21"/>
        </w:rPr>
        <w:t>、FDPの上昇、フィブリノーゲンの低下</w:t>
      </w:r>
    </w:p>
    <w:p w14:paraId="7EA4E39B" w14:textId="77777777" w:rsidR="00A1136B" w:rsidRPr="006F573C" w:rsidRDefault="00A1136B" w:rsidP="00814248">
      <w:pPr>
        <w:widowControl/>
        <w:adjustRightInd w:val="0"/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</w:p>
    <w:p w14:paraId="1DA90269" w14:textId="11F343C6" w:rsidR="00FB6370" w:rsidRPr="006F573C" w:rsidRDefault="00FB637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[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検査</w:t>
      </w: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]</w:t>
      </w:r>
    </w:p>
    <w:p w14:paraId="32802ED0" w14:textId="1C576F1D" w:rsidR="003E781E" w:rsidRPr="006F573C" w:rsidRDefault="00E07242" w:rsidP="00814248">
      <w:pPr>
        <w:pStyle w:val="a3"/>
        <w:widowControl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末梢血像</w:t>
      </w:r>
    </w:p>
    <w:p w14:paraId="614E6C6C" w14:textId="4E64D7CE" w:rsidR="00D83417" w:rsidRPr="006F573C" w:rsidRDefault="00D83417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貧血と血小板減少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患児の</w:t>
      </w:r>
      <w:r w:rsidRPr="006F573C">
        <w:rPr>
          <w:rFonts w:ascii="HG丸ｺﾞｼｯｸM-PRO" w:eastAsia="HG丸ｺﾞｼｯｸM-PRO" w:hAnsi="HG丸ｺﾞｼｯｸM-PRO"/>
          <w:szCs w:val="21"/>
        </w:rPr>
        <w:t>2/3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認める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血液塗抹標本で、芽球細胞の増加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認められない場合もある)。</w:t>
      </w:r>
    </w:p>
    <w:p w14:paraId="52E4AC84" w14:textId="5C4756FD" w:rsidR="00D83417" w:rsidRPr="006F573C" w:rsidRDefault="00D83417" w:rsidP="00814248">
      <w:pPr>
        <w:pStyle w:val="a3"/>
        <w:widowControl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骨髄穿刺</w:t>
      </w:r>
    </w:p>
    <w:p w14:paraId="50EFBEA6" w14:textId="77777777" w:rsidR="00D83417" w:rsidRPr="006F573C" w:rsidRDefault="00D83417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骨髄細胞の塗抹標本で確定診断する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芽球細胞が30％以上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7E11502" w14:textId="72CC221A" w:rsidR="00D83417" w:rsidRPr="006F573C" w:rsidRDefault="00D83417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芽球細胞の特性を解析して治療方針が決定されるが、そのためには、形態学的分類、生化学的分類、細胞表面マーカー分類、染色体所見などを組み合わせ解析される。</w:t>
      </w:r>
    </w:p>
    <w:p w14:paraId="7C98E2E2" w14:textId="1C453FF3" w:rsidR="00D83417" w:rsidRPr="006F573C" w:rsidRDefault="00D83417" w:rsidP="00814248">
      <w:pPr>
        <w:pStyle w:val="a3"/>
        <w:widowControl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その他</w:t>
      </w:r>
    </w:p>
    <w:p w14:paraId="038C53DA" w14:textId="4910A197" w:rsidR="00B76BF6" w:rsidRPr="006F573C" w:rsidRDefault="00D83417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骨髄穿刺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髄膜湿潤の有無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、X線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胸部単純撮影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で縦隔腫瘍の有無、注意深い触診など。</w:t>
      </w:r>
    </w:p>
    <w:p w14:paraId="1E140988" w14:textId="77777777" w:rsidR="00A1136B" w:rsidRPr="006F573C" w:rsidRDefault="00A1136B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77CE28F1" w14:textId="3F4288B2" w:rsidR="00FB6370" w:rsidRPr="006F573C" w:rsidRDefault="00FB637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[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治療</w:t>
      </w: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]</w:t>
      </w:r>
    </w:p>
    <w:p w14:paraId="31085E51" w14:textId="2DF2D3ED" w:rsidR="00C81B7B" w:rsidRPr="006F573C" w:rsidRDefault="00A1136B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治療方針はリスク度を分類して決定する。</w:t>
      </w:r>
    </w:p>
    <w:p w14:paraId="6329978E" w14:textId="17C34435" w:rsidR="00C81B7B" w:rsidRPr="006F573C" w:rsidRDefault="000D5CB4" w:rsidP="00814248">
      <w:pPr>
        <w:pStyle w:val="a3"/>
        <w:widowControl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="00C81B7B"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寛解導入・維持・強化療法</w:t>
      </w:r>
    </w:p>
    <w:p w14:paraId="115E5136" w14:textId="0715C921" w:rsidR="00614013" w:rsidRPr="006F573C" w:rsidRDefault="00614013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化学療法で、抗がん剤の効果的な併用療法が用いられるが、薬剤は病型、治療の段階に応じて選択される。</w:t>
      </w:r>
    </w:p>
    <w:p w14:paraId="69D1A8AA" w14:textId="4C59E386" w:rsidR="000A7BE0" w:rsidRPr="006F573C" w:rsidRDefault="000A7BE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寛解に導入されると、さらに骨髄中に残存している芽球を減少させ、維持療法では、芽球が再増加しないよう観察管理する。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851"/>
        <w:gridCol w:w="1276"/>
        <w:gridCol w:w="4353"/>
      </w:tblGrid>
      <w:tr w:rsidR="008C5E13" w:rsidRPr="006F573C" w14:paraId="1C830B93" w14:textId="1F914976" w:rsidTr="00867E21">
        <w:trPr>
          <w:trHeight w:val="410"/>
        </w:trPr>
        <w:tc>
          <w:tcPr>
            <w:tcW w:w="10444" w:type="dxa"/>
            <w:gridSpan w:val="6"/>
          </w:tcPr>
          <w:p w14:paraId="23BBE493" w14:textId="4FCC0AF0" w:rsidR="008C5E13" w:rsidRPr="006F573C" w:rsidRDefault="008C5E13" w:rsidP="0081424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主な抗白血病剤</w:t>
            </w:r>
          </w:p>
        </w:tc>
      </w:tr>
      <w:tr w:rsidR="00A636E5" w:rsidRPr="006F573C" w14:paraId="57E87AF8" w14:textId="2915E8D1" w:rsidTr="00351855">
        <w:trPr>
          <w:trHeight w:val="427"/>
        </w:trPr>
        <w:tc>
          <w:tcPr>
            <w:tcW w:w="1129" w:type="dxa"/>
          </w:tcPr>
          <w:p w14:paraId="6A5FC1F8" w14:textId="08E56C68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分類</w:t>
            </w:r>
          </w:p>
        </w:tc>
        <w:tc>
          <w:tcPr>
            <w:tcW w:w="1276" w:type="dxa"/>
          </w:tcPr>
          <w:p w14:paraId="76A13071" w14:textId="5154A0D5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一般名</w:t>
            </w:r>
          </w:p>
        </w:tc>
        <w:tc>
          <w:tcPr>
            <w:tcW w:w="1559" w:type="dxa"/>
          </w:tcPr>
          <w:p w14:paraId="20CC47BA" w14:textId="4187587F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製品名</w:t>
            </w:r>
          </w:p>
        </w:tc>
        <w:tc>
          <w:tcPr>
            <w:tcW w:w="851" w:type="dxa"/>
          </w:tcPr>
          <w:p w14:paraId="5D98EAEC" w14:textId="74E8A578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投与法</w:t>
            </w:r>
          </w:p>
        </w:tc>
        <w:tc>
          <w:tcPr>
            <w:tcW w:w="1276" w:type="dxa"/>
          </w:tcPr>
          <w:p w14:paraId="4E794410" w14:textId="20239A17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投与量</w:t>
            </w:r>
          </w:p>
        </w:tc>
        <w:tc>
          <w:tcPr>
            <w:tcW w:w="4353" w:type="dxa"/>
          </w:tcPr>
          <w:p w14:paraId="489174E4" w14:textId="6728BE70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Cs w:val="21"/>
              </w:rPr>
              <w:t>副作用</w:t>
            </w:r>
          </w:p>
        </w:tc>
      </w:tr>
      <w:tr w:rsidR="00A636E5" w:rsidRPr="006F573C" w14:paraId="48E4A6ED" w14:textId="4EB43F9F" w:rsidTr="00351855">
        <w:trPr>
          <w:trHeight w:val="427"/>
        </w:trPr>
        <w:tc>
          <w:tcPr>
            <w:tcW w:w="1129" w:type="dxa"/>
          </w:tcPr>
          <w:p w14:paraId="0CC2521D" w14:textId="69B906DD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ステロイド剤</w:t>
            </w:r>
          </w:p>
        </w:tc>
        <w:tc>
          <w:tcPr>
            <w:tcW w:w="1276" w:type="dxa"/>
          </w:tcPr>
          <w:p w14:paraId="15D4EA18" w14:textId="3BB143A8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プレドニン</w:t>
            </w:r>
          </w:p>
        </w:tc>
        <w:tc>
          <w:tcPr>
            <w:tcW w:w="1559" w:type="dxa"/>
          </w:tcPr>
          <w:p w14:paraId="2425601B" w14:textId="6B330136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プレトニゾロン</w:t>
            </w:r>
          </w:p>
        </w:tc>
        <w:tc>
          <w:tcPr>
            <w:tcW w:w="851" w:type="dxa"/>
          </w:tcPr>
          <w:p w14:paraId="16B4CD00" w14:textId="7B8E773F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経口</w:t>
            </w:r>
          </w:p>
        </w:tc>
        <w:tc>
          <w:tcPr>
            <w:tcW w:w="1276" w:type="dxa"/>
          </w:tcPr>
          <w:p w14:paraId="31292D3A" w14:textId="5A0B0FFE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2mg/kg</w:t>
            </w:r>
          </w:p>
        </w:tc>
        <w:tc>
          <w:tcPr>
            <w:tcW w:w="4353" w:type="dxa"/>
          </w:tcPr>
          <w:p w14:paraId="73F99851" w14:textId="4D213565" w:rsidR="00A636E5" w:rsidRPr="006F573C" w:rsidRDefault="00CD635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クッシング様顔貌、水分貯留、高血圧、消化管潰瘍、骨粗鬆症、免疫能低下</w:t>
            </w:r>
          </w:p>
        </w:tc>
      </w:tr>
      <w:tr w:rsidR="00351855" w:rsidRPr="006F573C" w14:paraId="05ABCAA6" w14:textId="4DAA835D" w:rsidTr="00351855">
        <w:trPr>
          <w:trHeight w:val="887"/>
        </w:trPr>
        <w:tc>
          <w:tcPr>
            <w:tcW w:w="1129" w:type="dxa"/>
            <w:vMerge w:val="restart"/>
          </w:tcPr>
          <w:p w14:paraId="0A9613D9" w14:textId="47C2F353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代謝拮抗剤</w:t>
            </w:r>
          </w:p>
        </w:tc>
        <w:tc>
          <w:tcPr>
            <w:tcW w:w="1276" w:type="dxa"/>
          </w:tcPr>
          <w:p w14:paraId="3A841C50" w14:textId="667E2118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6-メルカプトプリン</w:t>
            </w:r>
          </w:p>
        </w:tc>
        <w:tc>
          <w:tcPr>
            <w:tcW w:w="1559" w:type="dxa"/>
          </w:tcPr>
          <w:p w14:paraId="793EF08A" w14:textId="5E5266A8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ロイケリン</w:t>
            </w:r>
          </w:p>
        </w:tc>
        <w:tc>
          <w:tcPr>
            <w:tcW w:w="851" w:type="dxa"/>
          </w:tcPr>
          <w:p w14:paraId="7E9EE945" w14:textId="15E715D1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経口</w:t>
            </w:r>
          </w:p>
        </w:tc>
        <w:tc>
          <w:tcPr>
            <w:tcW w:w="1276" w:type="dxa"/>
          </w:tcPr>
          <w:p w14:paraId="242DC4EA" w14:textId="1D94E28D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.5mg/kg/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  <w:p w14:paraId="3168081C" w14:textId="19562F19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0mg/m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53" w:type="dxa"/>
          </w:tcPr>
          <w:p w14:paraId="217E6353" w14:textId="5E400AC3" w:rsidR="00351855" w:rsidRPr="006F573C" w:rsidRDefault="00CD635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骨髄抑制、肝障害、口腔内潰瘍</w:t>
            </w:r>
          </w:p>
        </w:tc>
      </w:tr>
      <w:tr w:rsidR="00351855" w:rsidRPr="006F573C" w14:paraId="2D69936E" w14:textId="53BD6606" w:rsidTr="00351855">
        <w:trPr>
          <w:trHeight w:val="1314"/>
        </w:trPr>
        <w:tc>
          <w:tcPr>
            <w:tcW w:w="1129" w:type="dxa"/>
            <w:vMerge/>
          </w:tcPr>
          <w:p w14:paraId="2A89FAE1" w14:textId="77777777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6A428A" w14:textId="2B4EE2E9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サイトシン・アラビノシド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(Ara-C)</w:t>
            </w:r>
          </w:p>
        </w:tc>
        <w:tc>
          <w:tcPr>
            <w:tcW w:w="1559" w:type="dxa"/>
          </w:tcPr>
          <w:p w14:paraId="29874F79" w14:textId="2C92C6A4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キロサイド</w:t>
            </w:r>
          </w:p>
        </w:tc>
        <w:tc>
          <w:tcPr>
            <w:tcW w:w="851" w:type="dxa"/>
          </w:tcPr>
          <w:p w14:paraId="4700964B" w14:textId="1514F035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7C92A411" w14:textId="4F2FD140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.0-2.0mg/kg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・3日</w:t>
            </w:r>
          </w:p>
        </w:tc>
        <w:tc>
          <w:tcPr>
            <w:tcW w:w="4353" w:type="dxa"/>
          </w:tcPr>
          <w:p w14:paraId="23FFDA9C" w14:textId="3AEEEAD9" w:rsidR="00351855" w:rsidRPr="006F573C" w:rsidRDefault="00CD635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骨髄抑制、口腔潰瘍、食欲不振、悪心、嘔吐、脱毛</w:t>
            </w:r>
          </w:p>
        </w:tc>
      </w:tr>
      <w:tr w:rsidR="00351855" w:rsidRPr="006F573C" w14:paraId="427F4959" w14:textId="1753CBC4" w:rsidTr="00351855">
        <w:trPr>
          <w:trHeight w:val="1314"/>
        </w:trPr>
        <w:tc>
          <w:tcPr>
            <w:tcW w:w="1129" w:type="dxa"/>
            <w:vMerge/>
          </w:tcPr>
          <w:p w14:paraId="4649BD53" w14:textId="77777777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F0F53E" w14:textId="3EE2D033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メトトレキサート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(MTX)</w:t>
            </w:r>
          </w:p>
        </w:tc>
        <w:tc>
          <w:tcPr>
            <w:tcW w:w="1559" w:type="dxa"/>
          </w:tcPr>
          <w:p w14:paraId="57FD0810" w14:textId="37F50E0C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メソトレキセート</w:t>
            </w:r>
          </w:p>
        </w:tc>
        <w:tc>
          <w:tcPr>
            <w:tcW w:w="851" w:type="dxa"/>
          </w:tcPr>
          <w:p w14:paraId="6C1B2664" w14:textId="69C002AB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経口</w:t>
            </w:r>
          </w:p>
          <w:p w14:paraId="063342A6" w14:textId="77777777" w:rsidR="00FD75ED" w:rsidRPr="006F573C" w:rsidRDefault="00FD75ED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12B4507" w14:textId="44D2DE82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0A885D54" w14:textId="708A0741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5-20mg/m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  <w:vertAlign w:val="superscript"/>
              </w:rPr>
              <w:t>2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/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  <w:p w14:paraId="1403D0A6" w14:textId="0932AC26" w:rsidR="00351855" w:rsidRPr="006F573C" w:rsidRDefault="0035185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.5mg/kg-500g/m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53" w:type="dxa"/>
          </w:tcPr>
          <w:p w14:paraId="04BCD9C6" w14:textId="54D63A6D" w:rsidR="00351855" w:rsidRPr="006F573C" w:rsidRDefault="00CA613B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口内炎、口腔消化管潰瘍、食欲不振、嘔吐、肝障害</w:t>
            </w:r>
            <w:r w:rsidR="00B02A7A"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、骨髄抑制、骨粗鬆症</w:t>
            </w:r>
          </w:p>
        </w:tc>
      </w:tr>
      <w:tr w:rsidR="00A636E5" w:rsidRPr="006F573C" w14:paraId="790FD377" w14:textId="77777777" w:rsidTr="00351855">
        <w:trPr>
          <w:trHeight w:val="870"/>
        </w:trPr>
        <w:tc>
          <w:tcPr>
            <w:tcW w:w="1129" w:type="dxa"/>
          </w:tcPr>
          <w:p w14:paraId="4B74CFAE" w14:textId="3DE90191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植物アルカロイド</w:t>
            </w:r>
          </w:p>
        </w:tc>
        <w:tc>
          <w:tcPr>
            <w:tcW w:w="1276" w:type="dxa"/>
          </w:tcPr>
          <w:p w14:paraId="5B502CA3" w14:textId="2A723807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硫酸ビンクリスチン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(VCR)</w:t>
            </w:r>
          </w:p>
        </w:tc>
        <w:tc>
          <w:tcPr>
            <w:tcW w:w="1559" w:type="dxa"/>
          </w:tcPr>
          <w:p w14:paraId="2DCD4EAB" w14:textId="2D62E3EC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オンコビン</w:t>
            </w:r>
          </w:p>
        </w:tc>
        <w:tc>
          <w:tcPr>
            <w:tcW w:w="851" w:type="dxa"/>
          </w:tcPr>
          <w:p w14:paraId="384FCDB7" w14:textId="54BEBD8E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6893A5EB" w14:textId="5E278826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.5-2.0mg/m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53" w:type="dxa"/>
          </w:tcPr>
          <w:p w14:paraId="57051552" w14:textId="54330011" w:rsidR="00A636E5" w:rsidRPr="006F573C" w:rsidRDefault="00B02A7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神経障害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末梢神経麻痺、イレウス、嗄声、筋力低下、知覚異常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)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、腹痛、脱毛</w:t>
            </w:r>
          </w:p>
        </w:tc>
      </w:tr>
      <w:tr w:rsidR="00A636E5" w:rsidRPr="006F573C" w14:paraId="09100A6D" w14:textId="77777777" w:rsidTr="00351855">
        <w:trPr>
          <w:trHeight w:val="870"/>
        </w:trPr>
        <w:tc>
          <w:tcPr>
            <w:tcW w:w="1129" w:type="dxa"/>
          </w:tcPr>
          <w:p w14:paraId="4CE27061" w14:textId="494506EA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アルキル化剤</w:t>
            </w:r>
          </w:p>
        </w:tc>
        <w:tc>
          <w:tcPr>
            <w:tcW w:w="1276" w:type="dxa"/>
          </w:tcPr>
          <w:p w14:paraId="25FE2523" w14:textId="015AE4BB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シクロホスファマイド</w:t>
            </w:r>
          </w:p>
        </w:tc>
        <w:tc>
          <w:tcPr>
            <w:tcW w:w="1559" w:type="dxa"/>
          </w:tcPr>
          <w:p w14:paraId="21E378C6" w14:textId="1A74AE47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エンドキサン</w:t>
            </w:r>
          </w:p>
        </w:tc>
        <w:tc>
          <w:tcPr>
            <w:tcW w:w="851" w:type="dxa"/>
          </w:tcPr>
          <w:p w14:paraId="7E3F95AA" w14:textId="77909CB0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経口</w:t>
            </w:r>
          </w:p>
          <w:p w14:paraId="01D80999" w14:textId="77777777" w:rsidR="00FD75ED" w:rsidRPr="006F573C" w:rsidRDefault="00FD75ED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E9CFB3A" w14:textId="3CF0D59C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7352DE09" w14:textId="4142FF59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.0-2.5mg/kg/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  <w:p w14:paraId="575EBBDB" w14:textId="00F1C751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mg/kg/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</w:t>
            </w:r>
          </w:p>
        </w:tc>
        <w:tc>
          <w:tcPr>
            <w:tcW w:w="4353" w:type="dxa"/>
          </w:tcPr>
          <w:p w14:paraId="53734AF9" w14:textId="658BB71C" w:rsidR="00A636E5" w:rsidRPr="006F573C" w:rsidRDefault="00B02A7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骨髄抑制、出血性膀胱炎、脱毛</w:t>
            </w:r>
          </w:p>
        </w:tc>
      </w:tr>
      <w:tr w:rsidR="00A636E5" w:rsidRPr="006F573C" w14:paraId="6163415E" w14:textId="77777777" w:rsidTr="00351855">
        <w:trPr>
          <w:trHeight w:val="443"/>
        </w:trPr>
        <w:tc>
          <w:tcPr>
            <w:tcW w:w="1129" w:type="dxa"/>
          </w:tcPr>
          <w:p w14:paraId="76094C14" w14:textId="26FAB536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抗がん性抗生物質</w:t>
            </w:r>
          </w:p>
        </w:tc>
        <w:tc>
          <w:tcPr>
            <w:tcW w:w="1276" w:type="dxa"/>
          </w:tcPr>
          <w:p w14:paraId="5DB88177" w14:textId="1C0C18A9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ダウノルビシン</w:t>
            </w:r>
          </w:p>
        </w:tc>
        <w:tc>
          <w:tcPr>
            <w:tcW w:w="1559" w:type="dxa"/>
          </w:tcPr>
          <w:p w14:paraId="0A4BA925" w14:textId="55FCA740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ダウノマイシン</w:t>
            </w:r>
          </w:p>
        </w:tc>
        <w:tc>
          <w:tcPr>
            <w:tcW w:w="851" w:type="dxa"/>
          </w:tcPr>
          <w:p w14:paraId="13A4AE09" w14:textId="3EB25ADE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2FB54E96" w14:textId="36281A87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mg/kg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・3~4日</w:t>
            </w:r>
          </w:p>
        </w:tc>
        <w:tc>
          <w:tcPr>
            <w:tcW w:w="4353" w:type="dxa"/>
          </w:tcPr>
          <w:p w14:paraId="34635291" w14:textId="1A144AC1" w:rsidR="00A636E5" w:rsidRPr="006F573C" w:rsidRDefault="00B02A7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骨髄抑制、胃腸障害、脱毛心筋障害</w:t>
            </w:r>
          </w:p>
        </w:tc>
      </w:tr>
      <w:tr w:rsidR="00A636E5" w:rsidRPr="006F573C" w14:paraId="184E1871" w14:textId="77777777" w:rsidTr="00351855">
        <w:trPr>
          <w:trHeight w:val="870"/>
        </w:trPr>
        <w:tc>
          <w:tcPr>
            <w:tcW w:w="1129" w:type="dxa"/>
          </w:tcPr>
          <w:p w14:paraId="58656DBC" w14:textId="727025EC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1276" w:type="dxa"/>
          </w:tcPr>
          <w:p w14:paraId="462FA9A0" w14:textId="5A37C7DE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L1-アスパラギナーゼ</w:t>
            </w:r>
          </w:p>
        </w:tc>
        <w:tc>
          <w:tcPr>
            <w:tcW w:w="1559" w:type="dxa"/>
          </w:tcPr>
          <w:p w14:paraId="2D8B4148" w14:textId="2DD12FBD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ロイナーゼ</w:t>
            </w:r>
          </w:p>
        </w:tc>
        <w:tc>
          <w:tcPr>
            <w:tcW w:w="851" w:type="dxa"/>
          </w:tcPr>
          <w:p w14:paraId="52543F0C" w14:textId="5B54BE94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静注</w:t>
            </w:r>
          </w:p>
        </w:tc>
        <w:tc>
          <w:tcPr>
            <w:tcW w:w="1276" w:type="dxa"/>
          </w:tcPr>
          <w:p w14:paraId="05038BAD" w14:textId="6EF97ACB" w:rsidR="00A636E5" w:rsidRPr="006F573C" w:rsidRDefault="00A636E5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50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単位</w:t>
            </w:r>
            <w:r w:rsidRPr="006F573C">
              <w:rPr>
                <w:rFonts w:ascii="HG丸ｺﾞｼｯｸM-PRO" w:eastAsia="HG丸ｺﾞｼｯｸM-PRO" w:hAnsi="HG丸ｺﾞｼｯｸM-PRO"/>
                <w:sz w:val="16"/>
                <w:szCs w:val="16"/>
              </w:rPr>
              <w:t>/kg</w:t>
            </w: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・7~10日</w:t>
            </w:r>
          </w:p>
        </w:tc>
        <w:tc>
          <w:tcPr>
            <w:tcW w:w="4353" w:type="dxa"/>
          </w:tcPr>
          <w:p w14:paraId="7506934E" w14:textId="34F6351A" w:rsidR="00A636E5" w:rsidRPr="006F573C" w:rsidRDefault="00B02A7A" w:rsidP="0081424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57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たんぱく質合成低下、体重減少、食欲不振、嘔吐、肝障害、膵炎、糖尿病、アナフィラキシー</w:t>
            </w:r>
          </w:p>
        </w:tc>
      </w:tr>
    </w:tbl>
    <w:p w14:paraId="2F7A6525" w14:textId="77777777" w:rsidR="00ED38EE" w:rsidRPr="006F573C" w:rsidRDefault="00ED38EE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31D3829" w14:textId="3297AF8F" w:rsidR="000D5CB4" w:rsidRPr="006F573C" w:rsidRDefault="000D5CB4" w:rsidP="00814248">
      <w:pPr>
        <w:pStyle w:val="a3"/>
        <w:widowControl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中枢神経白血病の予防</w:t>
      </w:r>
    </w:p>
    <w:p w14:paraId="2320DEB5" w14:textId="6EC51C44" w:rsidR="003B57A5" w:rsidRPr="006F573C" w:rsidRDefault="003B57A5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身体の免疫機構が残存白血病細胞を排除することを期待する一方、脳内からの白血病再発を予防する目的で、放射線療法やメソトレキセートの髄腔内注射が行われる。</w:t>
      </w:r>
    </w:p>
    <w:p w14:paraId="3B6F1FAE" w14:textId="0036BD1F" w:rsidR="000D5CB4" w:rsidRPr="006F573C" w:rsidRDefault="000D5CB4" w:rsidP="00814248">
      <w:pPr>
        <w:pStyle w:val="a3"/>
        <w:widowControl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骨髄移植療法</w:t>
      </w:r>
    </w:p>
    <w:p w14:paraId="26BBCF7A" w14:textId="59F15A09" w:rsidR="009A2C74" w:rsidRPr="006F573C" w:rsidRDefault="00B10E9E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化学療法では効果が期待できない場合に適応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化学療法で再発を繰り返す場合など)。</w:t>
      </w:r>
    </w:p>
    <w:p w14:paraId="1B17ED34" w14:textId="482B09C1" w:rsidR="00B10E9E" w:rsidRPr="006F573C" w:rsidRDefault="00B10E9E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化学療法より骨髄移植療法のほうが期待できるタイプ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病型)の場合に適応する。</w:t>
      </w:r>
    </w:p>
    <w:p w14:paraId="79EFE005" w14:textId="4F01FC44" w:rsidR="000D5CB4" w:rsidRPr="006F573C" w:rsidRDefault="00614013" w:rsidP="00814248">
      <w:pPr>
        <w:pStyle w:val="a3"/>
        <w:widowControl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補助療法</w:t>
      </w:r>
    </w:p>
    <w:p w14:paraId="5256C8C7" w14:textId="5B62198A" w:rsidR="00CA059F" w:rsidRPr="006F573C" w:rsidRDefault="00CA059F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抗生物質や顆粒球増加剤の併用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抗がん剤の副作用である好中球減少を予防し、感染予防および重篤な感染症に対処できる、また抗がん剤の投与量の増加が可能になる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D7AB5D9" w14:textId="0059CCE8" w:rsidR="00727BD1" w:rsidRPr="006F573C" w:rsidRDefault="00727BD1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補助手段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高カロリー輸液、鎮静剤の投与など)で体力の維持強化を図る</w:t>
      </w:r>
      <w:r w:rsidR="00A529A8" w:rsidRPr="006F573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6770605" w14:textId="77777777" w:rsidR="000D5CB4" w:rsidRPr="006F573C" w:rsidRDefault="000D5CB4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21951C0" w14:textId="6A3F715E" w:rsidR="007064E3" w:rsidRPr="006F573C" w:rsidRDefault="00FB6370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[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看護</w:t>
      </w:r>
      <w:r w:rsidRPr="006F573C">
        <w:rPr>
          <w:rFonts w:ascii="HG丸ｺﾞｼｯｸM-PRO" w:eastAsia="HG丸ｺﾞｼｯｸM-PRO" w:hAnsi="HG丸ｺﾞｼｯｸM-PRO"/>
          <w:b/>
          <w:bCs/>
          <w:sz w:val="24"/>
          <w:szCs w:val="24"/>
        </w:rPr>
        <w:t>]</w:t>
      </w:r>
    </w:p>
    <w:p w14:paraId="1EED1F15" w14:textId="2D10810D" w:rsidR="002C6347" w:rsidRPr="006F573C" w:rsidRDefault="002C634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●観察のポイント</w:t>
      </w:r>
    </w:p>
    <w:p w14:paraId="2684850F" w14:textId="77777777" w:rsidR="00734DF7" w:rsidRPr="006F573C" w:rsidRDefault="002C634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ＭＳ ゴシック" w:eastAsia="ＭＳ ゴシック" w:hAnsi="ＭＳ ゴシック" w:cs="ＭＳ ゴシック" w:hint="eastAsia"/>
          <w:b/>
          <w:bCs/>
          <w:sz w:val="22"/>
        </w:rPr>
        <w:t>⒈</w:t>
      </w: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バイタルサイン</w:t>
      </w:r>
    </w:p>
    <w:p w14:paraId="7D3E6F3A" w14:textId="536D633A" w:rsidR="002C6347" w:rsidRPr="006F573C" w:rsidRDefault="002C6347" w:rsidP="00814248">
      <w:pPr>
        <w:widowControl/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体温、呼吸、脈拍など</w:t>
      </w:r>
    </w:p>
    <w:p w14:paraId="3A6C09B8" w14:textId="6D37C2AB" w:rsidR="002C6347" w:rsidRPr="006F573C" w:rsidRDefault="002C6347" w:rsidP="00814248">
      <w:pPr>
        <w:pStyle w:val="a3"/>
        <w:widowControl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全身症状</w:t>
      </w:r>
    </w:p>
    <w:p w14:paraId="0F3412D5" w14:textId="6149DCD3" w:rsidR="009D6C42" w:rsidRPr="006F573C" w:rsidRDefault="009D6C42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顔色、発熱、食欲、疲労感、出血傾向、けいれん、視力障害など合併症の有無</w:t>
      </w:r>
    </w:p>
    <w:p w14:paraId="7CD088D7" w14:textId="59A395A3" w:rsidR="002C6347" w:rsidRPr="006F573C" w:rsidRDefault="00734DF7" w:rsidP="00814248">
      <w:pPr>
        <w:pStyle w:val="a3"/>
        <w:widowControl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局所症状</w:t>
      </w:r>
    </w:p>
    <w:p w14:paraId="73B07C48" w14:textId="5F9F4DC5" w:rsidR="00734DF7" w:rsidRPr="006F573C" w:rsidRDefault="00734DF7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腹痛、頭痛、骨・関節痛、血尿の有無、リンパ節の腫大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肝臓・脾臓の腫大)</w:t>
      </w:r>
    </w:p>
    <w:p w14:paraId="0BA5CF87" w14:textId="40786AF8" w:rsidR="00734DF7" w:rsidRPr="006F573C" w:rsidRDefault="00734DF7" w:rsidP="00814248">
      <w:pPr>
        <w:pStyle w:val="a3"/>
        <w:widowControl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その他</w:t>
      </w:r>
    </w:p>
    <w:p w14:paraId="66AC7346" w14:textId="1F8AEAA2" w:rsidR="00D102CA" w:rsidRPr="006F573C" w:rsidRDefault="00D102CA" w:rsidP="00814248">
      <w:pPr>
        <w:pStyle w:val="a3"/>
        <w:widowControl/>
        <w:adjustRightInd w:val="0"/>
        <w:snapToGrid w:val="0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家族の様子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精神的、経済的、家族的など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、児の様子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活気、生活の様子など)</w:t>
      </w:r>
    </w:p>
    <w:p w14:paraId="2F57FC54" w14:textId="0064533E" w:rsidR="00D102CA" w:rsidRPr="006F573C" w:rsidRDefault="0041422E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●看護ケアのポイント</w:t>
      </w:r>
    </w:p>
    <w:p w14:paraId="23DA30B1" w14:textId="1F86D28B" w:rsidR="0041422E" w:rsidRPr="006F573C" w:rsidRDefault="003349CB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ＭＳ ゴシック" w:eastAsia="ＭＳ ゴシック" w:hAnsi="ＭＳ ゴシック" w:cs="ＭＳ ゴシック" w:hint="eastAsia"/>
          <w:b/>
          <w:bCs/>
          <w:sz w:val="22"/>
        </w:rPr>
        <w:t>⒈</w:t>
      </w:r>
      <w:r w:rsidR="0041422E"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治療上の合併症徴候の予防と早期発見</w:t>
      </w:r>
    </w:p>
    <w:p w14:paraId="4E4B124D" w14:textId="33464A5E" w:rsidR="00906321" w:rsidRPr="006F573C" w:rsidRDefault="003349CB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・消化器・頭蓋内の</w:t>
      </w:r>
      <w:r w:rsidRPr="006F573C">
        <w:rPr>
          <w:rFonts w:ascii="HG丸ｺﾞｼｯｸM-PRO" w:eastAsia="HG丸ｺﾞｼｯｸM-PRO" w:hAnsi="HG丸ｺﾞｼｯｸM-PRO" w:hint="eastAsia"/>
          <w:szCs w:val="21"/>
          <w:u w:val="single"/>
        </w:rPr>
        <w:t>出血の早期発見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検査データをチェックし、予防的対処をとる)。血小板が</w:t>
      </w:r>
      <w:r w:rsidRPr="006F573C">
        <w:rPr>
          <w:rFonts w:ascii="HG丸ｺﾞｼｯｸM-PRO" w:eastAsia="HG丸ｺﾞｼｯｸM-PRO" w:hAnsi="HG丸ｺﾞｼｯｸM-PRO"/>
          <w:szCs w:val="21"/>
        </w:rPr>
        <w:t>50,000/mm</w:t>
      </w:r>
      <w:r w:rsidRPr="006F573C">
        <w:rPr>
          <w:rFonts w:ascii="HG丸ｺﾞｼｯｸM-PRO" w:eastAsia="HG丸ｺﾞｼｯｸM-PRO" w:hAnsi="HG丸ｺﾞｼｯｸM-PRO"/>
          <w:szCs w:val="21"/>
          <w:vertAlign w:val="superscript"/>
        </w:rPr>
        <w:t>3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以下になると出血傾向。</w:t>
      </w:r>
    </w:p>
    <w:p w14:paraId="2A9FCE8B" w14:textId="5F9FB16F" w:rsidR="00A11816" w:rsidRPr="006F573C" w:rsidRDefault="00A11816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</w:t>
      </w:r>
      <w:r w:rsidRPr="006F573C">
        <w:rPr>
          <w:rFonts w:ascii="HG丸ｺﾞｼｯｸM-PRO" w:eastAsia="HG丸ｺﾞｼｯｸM-PRO" w:hAnsi="HG丸ｺﾞｼｯｸM-PRO" w:hint="eastAsia"/>
          <w:szCs w:val="21"/>
          <w:u w:val="single"/>
        </w:rPr>
        <w:t>安静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：ベッド上安静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血小板</w:t>
      </w:r>
      <w:r w:rsidRPr="006F573C">
        <w:rPr>
          <w:rFonts w:ascii="HG丸ｺﾞｼｯｸM-PRO" w:eastAsia="HG丸ｺﾞｼｯｸM-PRO" w:hAnsi="HG丸ｺﾞｼｯｸM-PRO"/>
          <w:szCs w:val="21"/>
        </w:rPr>
        <w:t>30,000/mm</w:t>
      </w:r>
      <w:r w:rsidRPr="006F573C">
        <w:rPr>
          <w:rFonts w:ascii="HG丸ｺﾞｼｯｸM-PRO" w:eastAsia="HG丸ｺﾞｼｯｸM-PRO" w:hAnsi="HG丸ｺﾞｼｯｸM-PRO"/>
          <w:szCs w:val="21"/>
          <w:vertAlign w:val="superscript"/>
        </w:rPr>
        <w:t>3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以下は出血の危険性が高い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="00F002BB" w:rsidRPr="006F573C">
        <w:rPr>
          <w:rFonts w:ascii="HG丸ｺﾞｼｯｸM-PRO" w:eastAsia="HG丸ｺﾞｼｯｸM-PRO" w:hAnsi="HG丸ｺﾞｼｯｸM-PRO" w:hint="eastAsia"/>
          <w:szCs w:val="21"/>
        </w:rPr>
        <w:t>。年齢によっては安静保持が困難なため、治療中は個室で母親に付き添ってもらいながら</w:t>
      </w:r>
      <w:r w:rsidR="0022508A" w:rsidRPr="006F573C">
        <w:rPr>
          <w:rFonts w:ascii="HG丸ｺﾞｼｯｸM-PRO" w:eastAsia="HG丸ｺﾞｼｯｸM-PRO" w:hAnsi="HG丸ｺﾞｼｯｸM-PRO" w:hint="eastAsia"/>
          <w:szCs w:val="21"/>
        </w:rPr>
        <w:t>安静を守る工夫をする。</w:t>
      </w:r>
    </w:p>
    <w:p w14:paraId="0C66E8C9" w14:textId="6D707E84" w:rsidR="0022508A" w:rsidRPr="006F573C" w:rsidRDefault="0022508A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</w:t>
      </w:r>
      <w:r w:rsidRPr="006F573C">
        <w:rPr>
          <w:rFonts w:ascii="HG丸ｺﾞｼｯｸM-PRO" w:eastAsia="HG丸ｺﾞｼｯｸM-PRO" w:hAnsi="HG丸ｺﾞｼｯｸM-PRO" w:hint="eastAsia"/>
          <w:szCs w:val="21"/>
          <w:u w:val="single"/>
        </w:rPr>
        <w:t>環境整備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：転倒、打撲などの予防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毛布やタオルなどでベッド柵を覆い、ま</w:t>
      </w:r>
      <w:r w:rsidR="00B271B7" w:rsidRPr="006F573C">
        <w:rPr>
          <w:rFonts w:ascii="HG丸ｺﾞｼｯｸM-PRO" w:eastAsia="HG丸ｺﾞｼｯｸM-PRO" w:hAnsi="HG丸ｺﾞｼｯｸM-PRO" w:hint="eastAsia"/>
          <w:szCs w:val="21"/>
        </w:rPr>
        <w:t>た壊れやすい危険なおもちゃなどは避け、ベッド周囲の環境を整備する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="00B271B7" w:rsidRPr="006F573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3A86F0" w14:textId="0FB2871E" w:rsidR="0041422E" w:rsidRPr="006F573C" w:rsidRDefault="00906321" w:rsidP="00814248">
      <w:pPr>
        <w:pStyle w:val="a3"/>
        <w:widowControl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出血時の対処：鼻出血、皮下出血、歯肉出血、あるいは眼球出血など起こりやすい</w:t>
      </w:r>
    </w:p>
    <w:p w14:paraId="4EF6326F" w14:textId="3B5B624D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・出血時は冷罨法・手指による圧迫止血や、あらかじめ綿球などによる圧迫止血の指示を受けておいて行う。</w:t>
      </w:r>
    </w:p>
    <w:p w14:paraId="3BD6F38C" w14:textId="5A817664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・安静を図る。</w:t>
      </w:r>
    </w:p>
    <w:p w14:paraId="749CE9E5" w14:textId="4D20DEAF" w:rsidR="00906321" w:rsidRPr="006F573C" w:rsidRDefault="00906321" w:rsidP="00814248">
      <w:pPr>
        <w:pStyle w:val="a3"/>
        <w:widowControl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感染</w:t>
      </w:r>
      <w:r w:rsidR="00B271B7"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予防</w:t>
      </w:r>
    </w:p>
    <w:p w14:paraId="3DC4C51A" w14:textId="77232355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・治療による骨髄抑制のため、体力・抵抗力の低下をきたし、常に易感染の状態にあり、ときには致命的となるため、観察、異常の早期発見をする。</w:t>
      </w:r>
    </w:p>
    <w:p w14:paraId="1A0F5E48" w14:textId="38523EDE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・医療者が媒体とならないよう感染予防を第一とした行動をする。</w:t>
      </w:r>
    </w:p>
    <w:p w14:paraId="4642AD67" w14:textId="61610BCA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・皮膚・粘膜のケアを行う。</w:t>
      </w:r>
    </w:p>
    <w:p w14:paraId="561F951E" w14:textId="416D0480" w:rsidR="00906321" w:rsidRPr="006F573C" w:rsidRDefault="00906321" w:rsidP="00814248">
      <w:pPr>
        <w:pStyle w:val="a3"/>
        <w:widowControl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苦痛緩和</w:t>
      </w:r>
    </w:p>
    <w:p w14:paraId="328181A9" w14:textId="38D618B4" w:rsidR="00B271B7" w:rsidRPr="006F573C" w:rsidRDefault="00B271B7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lastRenderedPageBreak/>
        <w:t>・疾病そのものによる苦痛、治療上の苦痛は、患児や家族にとって</w:t>
      </w:r>
      <w:r w:rsidR="00803701" w:rsidRPr="006F573C">
        <w:rPr>
          <w:rFonts w:ascii="HG丸ｺﾞｼｯｸM-PRO" w:eastAsia="HG丸ｺﾞｼｯｸM-PRO" w:hAnsi="HG丸ｺﾞｼｯｸM-PRO" w:hint="eastAsia"/>
          <w:szCs w:val="21"/>
        </w:rPr>
        <w:t>苦しいものとなる。</w:t>
      </w:r>
    </w:p>
    <w:p w14:paraId="087E7FEB" w14:textId="7DEF92F0" w:rsidR="00803701" w:rsidRPr="006F573C" w:rsidRDefault="00803701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・検査や治療時の事前説明</w:t>
      </w:r>
      <w:r w:rsidR="003C6D56" w:rsidRPr="006F573C">
        <w:rPr>
          <w:rFonts w:ascii="HG丸ｺﾞｼｯｸM-PRO" w:eastAsia="HG丸ｺﾞｼｯｸM-PRO" w:hAnsi="HG丸ｺﾞｼｯｸM-PRO" w:hint="eastAsia"/>
          <w:szCs w:val="21"/>
        </w:rPr>
        <w:t>：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検査・処置は痛みを伴い、繰り</w:t>
      </w:r>
      <w:r w:rsidR="003C6D56" w:rsidRPr="006F573C">
        <w:rPr>
          <w:rFonts w:ascii="HG丸ｺﾞｼｯｸM-PRO" w:eastAsia="HG丸ｺﾞｼｯｸM-PRO" w:hAnsi="HG丸ｺﾞｼｯｸM-PRO" w:hint="eastAsia"/>
          <w:szCs w:val="21"/>
        </w:rPr>
        <w:t>返される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ことが</w:t>
      </w:r>
      <w:r w:rsidR="003C6D56" w:rsidRPr="006F573C">
        <w:rPr>
          <w:rFonts w:ascii="HG丸ｺﾞｼｯｸM-PRO" w:eastAsia="HG丸ｺﾞｼｯｸM-PRO" w:hAnsi="HG丸ｺﾞｼｯｸM-PRO" w:hint="eastAsia"/>
          <w:szCs w:val="21"/>
        </w:rPr>
        <w:t>多く、患児・家族の納得を得ることが大切。</w:t>
      </w:r>
    </w:p>
    <w:p w14:paraId="6AE504E9" w14:textId="51C077F1" w:rsidR="003C6D56" w:rsidRPr="006F573C" w:rsidRDefault="003C6D56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</w:t>
      </w:r>
      <w:r w:rsidR="00CD0D3B" w:rsidRPr="006F573C">
        <w:rPr>
          <w:rFonts w:ascii="HG丸ｺﾞｼｯｸM-PRO" w:eastAsia="HG丸ｺﾞｼｯｸM-PRO" w:hAnsi="HG丸ｺﾞｼｯｸM-PRO" w:hint="eastAsia"/>
          <w:szCs w:val="21"/>
        </w:rPr>
        <w:t>化学療法時の副作用への適切な対処：安楽な体位の工夫、食欲不振時の食事の工夫、脱毛時の対処など、身体的・精神的援助をする。</w:t>
      </w:r>
    </w:p>
    <w:p w14:paraId="5FC62D38" w14:textId="7E0A52D2" w:rsidR="00CD0D3B" w:rsidRPr="006F573C" w:rsidRDefault="0043248F" w:rsidP="00814248">
      <w:pPr>
        <w:pStyle w:val="a3"/>
        <w:widowControl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F573C">
        <w:rPr>
          <w:rFonts w:ascii="HG丸ｺﾞｼｯｸM-PRO" w:eastAsia="HG丸ｺﾞｼｯｸM-PRO" w:hAnsi="HG丸ｺﾞｼｯｸM-PRO" w:hint="eastAsia"/>
          <w:b/>
          <w:bCs/>
          <w:sz w:val="22"/>
        </w:rPr>
        <w:t>家族への援助</w:t>
      </w:r>
    </w:p>
    <w:p w14:paraId="42E7BCA7" w14:textId="55162ACC" w:rsidR="0043248F" w:rsidRPr="006F573C" w:rsidRDefault="0043248F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・家族は、患児とともに兄弟がいる場合、母親の役割葛藤なども生じることがある。</w:t>
      </w:r>
    </w:p>
    <w:p w14:paraId="4E74AB53" w14:textId="42B0E9D9" w:rsidR="00105641" w:rsidRPr="006F573C" w:rsidRDefault="00105641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・疾病への不安、動揺など精神的な苦痛の軽減。</w:t>
      </w:r>
    </w:p>
    <w:p w14:paraId="180806AC" w14:textId="1DD20BFD" w:rsidR="00105641" w:rsidRPr="006F573C" w:rsidRDefault="00105641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・療養中の生活指導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長期に及ぶ治療の状況を説明し、発達段階に合った生活への指導)。</w:t>
      </w:r>
    </w:p>
    <w:p w14:paraId="1E229F76" w14:textId="39401883" w:rsidR="00105641" w:rsidRPr="006F573C" w:rsidRDefault="00105641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・社会的、経済的側面への助言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地域社会資源の活用やケースワーカーとの連携などを図る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AF933CD" w14:textId="4177D4BD" w:rsidR="00105641" w:rsidRPr="006F573C" w:rsidRDefault="00105641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・同疾患に悩む親の会など、全国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地域施設</w:t>
      </w:r>
      <w:r w:rsidRPr="006F573C">
        <w:rPr>
          <w:rFonts w:ascii="HG丸ｺﾞｼｯｸM-PRO" w:eastAsia="HG丸ｺﾞｼｯｸM-PRO" w:hAnsi="HG丸ｺﾞｼｯｸM-PRO"/>
          <w:szCs w:val="21"/>
        </w:rPr>
        <w:t>)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ネットワークを紹介するなど家族の対処行動の拡大を図り支援する。</w:t>
      </w:r>
    </w:p>
    <w:p w14:paraId="20F4FBFB" w14:textId="55428C68" w:rsidR="00CA69B8" w:rsidRPr="006F573C" w:rsidRDefault="005C3B36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 xml:space="preserve"> 小児の95</w:t>
      </w:r>
      <w:r w:rsidR="00CB7C2A" w:rsidRPr="006F573C">
        <w:rPr>
          <w:rFonts w:ascii="HG丸ｺﾞｼｯｸM-PRO" w:eastAsia="HG丸ｺﾞｼｯｸM-PRO" w:hAnsi="HG丸ｺﾞｼｯｸM-PRO" w:hint="eastAsia"/>
          <w:szCs w:val="21"/>
        </w:rPr>
        <w:t>％以上が急性白血病で、そのうち80％が急性リンパ性白血病</w:t>
      </w:r>
      <w:r w:rsidR="00CB7C2A" w:rsidRPr="006F573C">
        <w:rPr>
          <w:rFonts w:ascii="HG丸ｺﾞｼｯｸM-PRO" w:eastAsia="HG丸ｺﾞｼｯｸM-PRO" w:hAnsi="HG丸ｺﾞｼｯｸM-PRO"/>
          <w:szCs w:val="21"/>
        </w:rPr>
        <w:t>(ALL)</w:t>
      </w:r>
      <w:r w:rsidR="00CB7C2A" w:rsidRPr="006F573C">
        <w:rPr>
          <w:rFonts w:ascii="HG丸ｺﾞｼｯｸM-PRO" w:eastAsia="HG丸ｺﾞｼｯｸM-PRO" w:hAnsi="HG丸ｺﾞｼｯｸM-PRO" w:hint="eastAsia"/>
          <w:szCs w:val="21"/>
        </w:rPr>
        <w:t>である。治療は、白血病の病型や種類、年齢、リスク度などに準じて、有効な</w:t>
      </w:r>
      <w:r w:rsidR="009F2B33" w:rsidRPr="006F573C">
        <w:rPr>
          <w:rFonts w:ascii="HG丸ｺﾞｼｯｸM-PRO" w:eastAsia="HG丸ｺﾞｼｯｸM-PRO" w:hAnsi="HG丸ｺﾞｼｯｸM-PRO" w:hint="eastAsia"/>
          <w:szCs w:val="21"/>
        </w:rPr>
        <w:t>ものを選択し実施される。</w:t>
      </w:r>
    </w:p>
    <w:p w14:paraId="143AFDCA" w14:textId="54FA2F16" w:rsidR="009F2B33" w:rsidRPr="006F573C" w:rsidRDefault="009F2B33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●感染と出血、合併症</w:t>
      </w:r>
      <w:r w:rsidRPr="006F573C">
        <w:rPr>
          <w:rFonts w:ascii="HG丸ｺﾞｼｯｸM-PRO" w:eastAsia="HG丸ｺﾞｼｯｸM-PRO" w:hAnsi="HG丸ｺﾞｼｯｸM-PRO"/>
          <w:szCs w:val="21"/>
        </w:rPr>
        <w:t>(</w:t>
      </w:r>
      <w:r w:rsidRPr="006F573C">
        <w:rPr>
          <w:rFonts w:ascii="HG丸ｺﾞｼｯｸM-PRO" w:eastAsia="HG丸ｺﾞｼｯｸM-PRO" w:hAnsi="HG丸ｺﾞｼｯｸM-PRO" w:hint="eastAsia"/>
          <w:szCs w:val="21"/>
        </w:rPr>
        <w:t>貧血、出血および他臓器湿潤)を予防し、治療による苦痛の軽減を図る</w:t>
      </w:r>
    </w:p>
    <w:p w14:paraId="1CED419A" w14:textId="33F54182" w:rsidR="0095371F" w:rsidRPr="006F573C" w:rsidRDefault="0095371F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●治療が長期に及ぶため、日常生活への援助は基本的生活習慣の発達レベルや健康の状態を</w:t>
      </w:r>
      <w:r w:rsidR="00F9604F" w:rsidRPr="006F573C">
        <w:rPr>
          <w:rFonts w:ascii="HG丸ｺﾞｼｯｸM-PRO" w:eastAsia="HG丸ｺﾞｼｯｸM-PRO" w:hAnsi="HG丸ｺﾞｼｯｸM-PRO" w:hint="eastAsia"/>
          <w:szCs w:val="21"/>
        </w:rPr>
        <w:t>判断しながら、児の発達段階に見合う生活が送れるようにすることが大切である</w:t>
      </w:r>
    </w:p>
    <w:p w14:paraId="62DEEC25" w14:textId="2D29263C" w:rsidR="00FC251E" w:rsidRPr="006F573C" w:rsidRDefault="00FC251E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F573C">
        <w:rPr>
          <w:rFonts w:ascii="HG丸ｺﾞｼｯｸM-PRO" w:eastAsia="HG丸ｺﾞｼｯｸM-PRO" w:hAnsi="HG丸ｺﾞｼｯｸM-PRO" w:hint="eastAsia"/>
          <w:szCs w:val="21"/>
        </w:rPr>
        <w:t>●家族は、長期に及ぶ精神的負担を持っており、精神面への配慮を忘れることなく、信頼関係を築き上げることが大切になる</w:t>
      </w:r>
    </w:p>
    <w:p w14:paraId="1EACA1E4" w14:textId="5FCB765A" w:rsidR="00DE5C89" w:rsidRPr="006F573C" w:rsidRDefault="00DE5C89" w:rsidP="00814248">
      <w:pPr>
        <w:widowControl/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6C71CF" w14:textId="1D3B02D5" w:rsidR="001A2207" w:rsidRPr="006F573C" w:rsidRDefault="001A2207" w:rsidP="00814248">
      <w:pPr>
        <w:adjustRightInd w:val="0"/>
        <w:snapToGrid w:val="0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sectPr w:rsidR="001A2207" w:rsidRPr="006F573C" w:rsidSect="006553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588F"/>
    <w:multiLevelType w:val="hybridMultilevel"/>
    <w:tmpl w:val="3C0C0A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B109E"/>
    <w:multiLevelType w:val="hybridMultilevel"/>
    <w:tmpl w:val="582284C8"/>
    <w:lvl w:ilvl="0" w:tplc="FFFFFFFF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A4673"/>
    <w:multiLevelType w:val="hybridMultilevel"/>
    <w:tmpl w:val="B45006EC"/>
    <w:lvl w:ilvl="0" w:tplc="FFFFFFFF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9F0E33"/>
    <w:multiLevelType w:val="hybridMultilevel"/>
    <w:tmpl w:val="CD5E19FE"/>
    <w:lvl w:ilvl="0" w:tplc="FFFFFFFF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75493C"/>
    <w:multiLevelType w:val="hybridMultilevel"/>
    <w:tmpl w:val="6FF207C0"/>
    <w:lvl w:ilvl="0" w:tplc="FFFFFFFF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15F3D"/>
    <w:multiLevelType w:val="hybridMultilevel"/>
    <w:tmpl w:val="CB066222"/>
    <w:lvl w:ilvl="0" w:tplc="FFFFFFFF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E3"/>
    <w:rsid w:val="000003A4"/>
    <w:rsid w:val="00012A58"/>
    <w:rsid w:val="000A7BE0"/>
    <w:rsid w:val="000D5CB4"/>
    <w:rsid w:val="000F7B85"/>
    <w:rsid w:val="001006B9"/>
    <w:rsid w:val="00105641"/>
    <w:rsid w:val="00135DE8"/>
    <w:rsid w:val="001910A1"/>
    <w:rsid w:val="001A2207"/>
    <w:rsid w:val="0022508A"/>
    <w:rsid w:val="00241F59"/>
    <w:rsid w:val="002C6347"/>
    <w:rsid w:val="003349CB"/>
    <w:rsid w:val="00351855"/>
    <w:rsid w:val="00361AB6"/>
    <w:rsid w:val="003A1B52"/>
    <w:rsid w:val="003B57A5"/>
    <w:rsid w:val="003C6D56"/>
    <w:rsid w:val="003D08FE"/>
    <w:rsid w:val="003E2364"/>
    <w:rsid w:val="003E781E"/>
    <w:rsid w:val="003E7C8E"/>
    <w:rsid w:val="0041422E"/>
    <w:rsid w:val="0043248F"/>
    <w:rsid w:val="004364AA"/>
    <w:rsid w:val="00454E24"/>
    <w:rsid w:val="004A7CC4"/>
    <w:rsid w:val="00502B0B"/>
    <w:rsid w:val="005C3B36"/>
    <w:rsid w:val="005C6F0C"/>
    <w:rsid w:val="00614013"/>
    <w:rsid w:val="006A232E"/>
    <w:rsid w:val="006F573C"/>
    <w:rsid w:val="007064E3"/>
    <w:rsid w:val="00727BD1"/>
    <w:rsid w:val="00734DF7"/>
    <w:rsid w:val="00753166"/>
    <w:rsid w:val="007D258E"/>
    <w:rsid w:val="007E29DF"/>
    <w:rsid w:val="007F266B"/>
    <w:rsid w:val="00803701"/>
    <w:rsid w:val="00814248"/>
    <w:rsid w:val="008235BD"/>
    <w:rsid w:val="00867E21"/>
    <w:rsid w:val="008C5E13"/>
    <w:rsid w:val="00906321"/>
    <w:rsid w:val="0095371F"/>
    <w:rsid w:val="009A2C74"/>
    <w:rsid w:val="009D1024"/>
    <w:rsid w:val="009D6C42"/>
    <w:rsid w:val="009F2B33"/>
    <w:rsid w:val="00A1136B"/>
    <w:rsid w:val="00A11816"/>
    <w:rsid w:val="00A529A8"/>
    <w:rsid w:val="00A636E5"/>
    <w:rsid w:val="00A70D6E"/>
    <w:rsid w:val="00A728C6"/>
    <w:rsid w:val="00AA7F2D"/>
    <w:rsid w:val="00B02A7A"/>
    <w:rsid w:val="00B10E9E"/>
    <w:rsid w:val="00B271B7"/>
    <w:rsid w:val="00B76BF6"/>
    <w:rsid w:val="00BA7D44"/>
    <w:rsid w:val="00C25863"/>
    <w:rsid w:val="00C81B7B"/>
    <w:rsid w:val="00CA059F"/>
    <w:rsid w:val="00CA613B"/>
    <w:rsid w:val="00CA69B8"/>
    <w:rsid w:val="00CB7C2A"/>
    <w:rsid w:val="00CC0D53"/>
    <w:rsid w:val="00CD0D3B"/>
    <w:rsid w:val="00CD4E3B"/>
    <w:rsid w:val="00CD635A"/>
    <w:rsid w:val="00D102CA"/>
    <w:rsid w:val="00D2493F"/>
    <w:rsid w:val="00D630C5"/>
    <w:rsid w:val="00D83417"/>
    <w:rsid w:val="00DC0ECC"/>
    <w:rsid w:val="00DD18D0"/>
    <w:rsid w:val="00DE5C89"/>
    <w:rsid w:val="00E07242"/>
    <w:rsid w:val="00E85D5B"/>
    <w:rsid w:val="00EC52E6"/>
    <w:rsid w:val="00ED38EE"/>
    <w:rsid w:val="00F002BB"/>
    <w:rsid w:val="00F0450E"/>
    <w:rsid w:val="00F9604F"/>
    <w:rsid w:val="00FA4760"/>
    <w:rsid w:val="00FB6370"/>
    <w:rsid w:val="00FC251E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879A5"/>
  <w15:chartTrackingRefBased/>
  <w15:docId w15:val="{FD1B3B4B-DEC5-E043-907B-6FAD693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42"/>
    <w:pPr>
      <w:ind w:leftChars="400" w:left="840"/>
    </w:pPr>
  </w:style>
  <w:style w:type="table" w:styleId="a4">
    <w:name w:val="Table Grid"/>
    <w:basedOn w:val="a1"/>
    <w:uiPriority w:val="39"/>
    <w:rsid w:val="00ED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知佳</dc:creator>
  <cp:keywords/>
  <dc:description/>
  <cp:lastModifiedBy>Endo Katsuhiro</cp:lastModifiedBy>
  <cp:revision>95</cp:revision>
  <cp:lastPrinted>2019-09-12T23:33:00Z</cp:lastPrinted>
  <dcterms:created xsi:type="dcterms:W3CDTF">2019-09-04T12:57:00Z</dcterms:created>
  <dcterms:modified xsi:type="dcterms:W3CDTF">2019-09-12T23:33:00Z</dcterms:modified>
</cp:coreProperties>
</file>